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D98C" w14:textId="1C850099" w:rsidR="00262114" w:rsidRDefault="00267F85" w:rsidP="00267F85">
      <w:pPr>
        <w:pStyle w:val="Logos"/>
        <w:tabs>
          <w:tab w:val="left" w:pos="12191"/>
        </w:tabs>
      </w:pPr>
      <w:bookmarkStart w:id="0" w:name="_Toc433976553"/>
      <w:r>
        <w:tab/>
      </w:r>
    </w:p>
    <w:bookmarkEnd w:id="0"/>
    <w:p w14:paraId="19E44B0D" w14:textId="52FD9501" w:rsidR="00262114" w:rsidRPr="00262114" w:rsidRDefault="00D223BF" w:rsidP="00FD4BEC">
      <w:pPr>
        <w:spacing w:after="240"/>
        <w:jc w:val="center"/>
        <w:rPr>
          <w:rFonts w:ascii="Arial" w:hAnsi="Arial" w:cs="Arial"/>
          <w:b/>
          <w:sz w:val="36"/>
          <w:szCs w:val="36"/>
        </w:rPr>
      </w:pPr>
      <w:proofErr w:type="spellStart"/>
      <w:r>
        <w:rPr>
          <w:rFonts w:ascii="Arial" w:eastAsia="Arial" w:hAnsi="Arial" w:cs="Arial"/>
          <w:b/>
          <w:color w:val="104F75"/>
          <w:sz w:val="36"/>
          <w:szCs w:val="36"/>
        </w:rPr>
        <w:t>Beaudesert</w:t>
      </w:r>
      <w:proofErr w:type="spellEnd"/>
      <w:r>
        <w:rPr>
          <w:rFonts w:ascii="Arial" w:eastAsia="Arial" w:hAnsi="Arial" w:cs="Arial"/>
          <w:b/>
          <w:color w:val="104F75"/>
          <w:sz w:val="36"/>
          <w:szCs w:val="36"/>
        </w:rPr>
        <w:t xml:space="preserve"> Lower School </w:t>
      </w:r>
      <w:r w:rsidR="00267F85" w:rsidRPr="00267F85">
        <w:rPr>
          <w:rFonts w:ascii="Arial" w:eastAsia="Arial" w:hAnsi="Arial" w:cs="Arial"/>
          <w:b/>
          <w:color w:val="104F75"/>
          <w:sz w:val="36"/>
          <w:szCs w:val="36"/>
        </w:rPr>
        <w:t>Pupil premium strategy statement</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7777777" w:rsidR="00C14FAE" w:rsidRPr="00B80272" w:rsidRDefault="00F970BA">
            <w:pPr>
              <w:rPr>
                <w:rFonts w:ascii="Arial" w:hAnsi="Arial" w:cs="Arial"/>
              </w:rPr>
            </w:pPr>
            <w:r>
              <w:rPr>
                <w:rFonts w:ascii="Arial" w:hAnsi="Arial" w:cs="Arial"/>
              </w:rPr>
              <w:t>2016/17</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67B68B77" w:rsidR="00C14FAE" w:rsidRPr="00F970BA" w:rsidRDefault="00D223BF">
            <w:pPr>
              <w:rPr>
                <w:rFonts w:ascii="Arial" w:hAnsi="Arial" w:cs="Arial"/>
                <w:highlight w:val="yellow"/>
              </w:rPr>
            </w:pPr>
            <w:r>
              <w:rPr>
                <w:rFonts w:ascii="Arial" w:hAnsi="Arial" w:cs="Arial"/>
              </w:rPr>
              <w:t>£50,760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77777777" w:rsidR="00C14FAE" w:rsidRPr="00B80272" w:rsidRDefault="00EE50D0">
            <w:pPr>
              <w:rPr>
                <w:rFonts w:ascii="Arial" w:hAnsi="Arial" w:cs="Arial"/>
              </w:rPr>
            </w:pPr>
            <w:r>
              <w:rPr>
                <w:rFonts w:ascii="Arial" w:hAnsi="Arial" w:cs="Arial"/>
              </w:rPr>
              <w:t>247</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128E7AFD" w:rsidR="00C14FAE" w:rsidRPr="00B80272" w:rsidRDefault="00D223BF">
            <w:pPr>
              <w:rPr>
                <w:rFonts w:ascii="Arial" w:hAnsi="Arial" w:cs="Arial"/>
              </w:rPr>
            </w:pPr>
            <w:r>
              <w:rPr>
                <w:rFonts w:ascii="Arial" w:hAnsi="Arial" w:cs="Arial"/>
              </w:rPr>
              <w:t>40</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334E5B2F" w:rsidR="00C14FAE" w:rsidRPr="00B80272" w:rsidRDefault="00D223BF">
            <w:pPr>
              <w:rPr>
                <w:rFonts w:ascii="Arial" w:hAnsi="Arial" w:cs="Arial"/>
              </w:rPr>
            </w:pPr>
            <w:r>
              <w:rPr>
                <w:rFonts w:ascii="Arial" w:hAnsi="Arial" w:cs="Arial"/>
              </w:rPr>
              <w:t>July</w:t>
            </w:r>
            <w:r w:rsidR="00F970BA">
              <w:rPr>
                <w:rFonts w:ascii="Arial" w:hAnsi="Arial" w:cs="Arial"/>
              </w:rPr>
              <w:t xml:space="preserve"> 2017</w:t>
            </w:r>
          </w:p>
        </w:tc>
      </w:tr>
    </w:tbl>
    <w:p w14:paraId="1EA326D4" w14:textId="77777777" w:rsidR="00B80272" w:rsidRPr="00A33F73" w:rsidRDefault="00B80272">
      <w:pPr>
        <w:rPr>
          <w:rFonts w:ascii="Arial" w:hAnsi="Arial" w:cs="Arial"/>
          <w:sz w:val="16"/>
          <w:szCs w:val="16"/>
        </w:rPr>
      </w:pPr>
    </w:p>
    <w:p w14:paraId="64B1EC9B" w14:textId="68C2EE89"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2954A6" w14:paraId="52A3A180" w14:textId="77777777" w:rsidTr="00A33F73">
        <w:tc>
          <w:tcPr>
            <w:tcW w:w="15417" w:type="dxa"/>
            <w:gridSpan w:val="4"/>
            <w:shd w:val="clear" w:color="auto" w:fill="CFDCE3"/>
            <w:tcMar>
              <w:top w:w="57" w:type="dxa"/>
              <w:bottom w:w="57" w:type="dxa"/>
            </w:tcMar>
          </w:tcPr>
          <w:p w14:paraId="18CEDA91" w14:textId="69DB48CE" w:rsidR="00765EFB" w:rsidRPr="002954A6" w:rsidRDefault="00765EFB" w:rsidP="00A24C66">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2F9B5219" w:rsidR="00915380" w:rsidRPr="00AE78F2" w:rsidRDefault="00A24C66" w:rsidP="00A24C66">
            <w:pPr>
              <w:rPr>
                <w:rFonts w:ascii="Arial" w:hAnsi="Arial" w:cs="Arial"/>
                <w:sz w:val="18"/>
                <w:szCs w:val="18"/>
              </w:rPr>
            </w:pPr>
            <w:r>
              <w:rPr>
                <w:rFonts w:ascii="Arial" w:hAnsi="Arial" w:cs="Arial"/>
                <w:noProof/>
                <w:sz w:val="18"/>
                <w:szCs w:val="18"/>
                <w:lang w:eastAsia="en-GB"/>
              </w:rPr>
              <w:t>Some children eligible for PP lack resilience which impacts on their confidence and cooperation when learning.</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74A950B6" w:rsidR="00915380" w:rsidRPr="00AE78F2" w:rsidRDefault="00A24C66" w:rsidP="00A24C66">
            <w:pPr>
              <w:rPr>
                <w:rFonts w:ascii="Arial" w:hAnsi="Arial" w:cs="Arial"/>
                <w:sz w:val="18"/>
                <w:szCs w:val="18"/>
              </w:rPr>
            </w:pPr>
            <w:r>
              <w:rPr>
                <w:rFonts w:ascii="Arial" w:hAnsi="Arial" w:cs="Arial"/>
                <w:sz w:val="18"/>
                <w:szCs w:val="18"/>
              </w:rPr>
              <w:t>Social and emotional support is needed for some children eligible for PP to ensure there is not a detrimental effect on their learning.</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2"/>
          </w:tcPr>
          <w:p w14:paraId="2EE89421" w14:textId="140829BC" w:rsidR="00915380" w:rsidRPr="002954A6" w:rsidRDefault="00D223BF" w:rsidP="00A24C66">
            <w:pPr>
              <w:rPr>
                <w:rFonts w:ascii="Arial" w:hAnsi="Arial" w:cs="Arial"/>
                <w:sz w:val="18"/>
                <w:szCs w:val="18"/>
              </w:rPr>
            </w:pPr>
            <w:r>
              <w:rPr>
                <w:rFonts w:ascii="Arial" w:hAnsi="Arial" w:cs="Arial"/>
                <w:sz w:val="18"/>
                <w:szCs w:val="18"/>
              </w:rPr>
              <w:t>Some families find it harder to fund enri</w:t>
            </w:r>
            <w:r w:rsidR="00A24C66">
              <w:rPr>
                <w:rFonts w:ascii="Arial" w:hAnsi="Arial" w:cs="Arial"/>
                <w:sz w:val="18"/>
                <w:szCs w:val="18"/>
              </w:rPr>
              <w:t>chment activities such as trips, visitors and clubs.</w:t>
            </w:r>
          </w:p>
        </w:tc>
      </w:tr>
      <w:tr w:rsidR="00561669" w:rsidRPr="002954A6" w14:paraId="4F5D3763" w14:textId="77777777" w:rsidTr="00A33F73">
        <w:tc>
          <w:tcPr>
            <w:tcW w:w="862" w:type="dxa"/>
            <w:gridSpan w:val="2"/>
            <w:tcMar>
              <w:top w:w="57" w:type="dxa"/>
              <w:bottom w:w="57" w:type="dxa"/>
            </w:tcMar>
          </w:tcPr>
          <w:p w14:paraId="61C0B4FB" w14:textId="4622C075" w:rsidR="00561669" w:rsidRPr="002954A6" w:rsidRDefault="00561669" w:rsidP="002962F2">
            <w:pPr>
              <w:pStyle w:val="ListParagraph"/>
              <w:tabs>
                <w:tab w:val="left" w:pos="75"/>
              </w:tabs>
              <w:ind w:left="426" w:hanging="335"/>
              <w:rPr>
                <w:rFonts w:ascii="Arial" w:hAnsi="Arial" w:cs="Arial"/>
                <w:b/>
              </w:rPr>
            </w:pPr>
            <w:r>
              <w:rPr>
                <w:rFonts w:ascii="Arial" w:hAnsi="Arial" w:cs="Arial"/>
                <w:b/>
              </w:rPr>
              <w:t>D.</w:t>
            </w:r>
          </w:p>
        </w:tc>
        <w:tc>
          <w:tcPr>
            <w:tcW w:w="14555" w:type="dxa"/>
            <w:gridSpan w:val="2"/>
          </w:tcPr>
          <w:p w14:paraId="38EBF686" w14:textId="3E3E2D22" w:rsidR="00561669" w:rsidRDefault="00561669" w:rsidP="00A24C66">
            <w:pPr>
              <w:rPr>
                <w:rFonts w:ascii="Arial" w:hAnsi="Arial" w:cs="Arial"/>
                <w:sz w:val="18"/>
                <w:szCs w:val="18"/>
              </w:rPr>
            </w:pPr>
            <w:r>
              <w:rPr>
                <w:rFonts w:ascii="Arial" w:hAnsi="Arial" w:cs="Arial"/>
                <w:sz w:val="18"/>
                <w:szCs w:val="18"/>
              </w:rPr>
              <w:t xml:space="preserve">Some children eligible for PP have not been identified as having SEND </w:t>
            </w:r>
            <w:proofErr w:type="gramStart"/>
            <w:r>
              <w:rPr>
                <w:rFonts w:ascii="Arial" w:hAnsi="Arial" w:cs="Arial"/>
                <w:sz w:val="18"/>
                <w:szCs w:val="18"/>
              </w:rPr>
              <w:t>are</w:t>
            </w:r>
            <w:proofErr w:type="gramEnd"/>
            <w:r>
              <w:rPr>
                <w:rFonts w:ascii="Arial" w:hAnsi="Arial" w:cs="Arial"/>
                <w:sz w:val="18"/>
                <w:szCs w:val="18"/>
              </w:rPr>
              <w:t xml:space="preserve"> showing lower attainment than their peers.</w:t>
            </w:r>
          </w:p>
        </w:tc>
      </w:tr>
      <w:tr w:rsidR="002954A6" w:rsidRPr="002954A6" w14:paraId="1ADB6446" w14:textId="77777777" w:rsidTr="00A24C66">
        <w:tc>
          <w:tcPr>
            <w:tcW w:w="15417" w:type="dxa"/>
            <w:gridSpan w:val="4"/>
            <w:shd w:val="clear" w:color="auto" w:fill="CFDCE3"/>
            <w:tcMar>
              <w:top w:w="57" w:type="dxa"/>
              <w:bottom w:w="57" w:type="dxa"/>
            </w:tcMar>
          </w:tcPr>
          <w:p w14:paraId="188AAB54" w14:textId="3A18F0D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24C66">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24C66">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19F79E5" w:rsidR="00915380" w:rsidRPr="00AE78F2" w:rsidRDefault="00DE7B7D" w:rsidP="00EE50D0">
            <w:pPr>
              <w:rPr>
                <w:rFonts w:ascii="Arial" w:hAnsi="Arial" w:cs="Arial"/>
                <w:sz w:val="18"/>
                <w:szCs w:val="18"/>
              </w:rPr>
            </w:pPr>
            <w:r>
              <w:rPr>
                <w:rFonts w:ascii="Arial" w:hAnsi="Arial" w:cs="Arial"/>
                <w:sz w:val="18"/>
                <w:szCs w:val="18"/>
              </w:rPr>
              <w:t>In class support will be built to develop resilience across the school.</w:t>
            </w:r>
          </w:p>
        </w:tc>
        <w:tc>
          <w:tcPr>
            <w:tcW w:w="6095" w:type="dxa"/>
          </w:tcPr>
          <w:p w14:paraId="777A9E15" w14:textId="27AF4C20" w:rsidR="00A6273A" w:rsidRPr="00AE78F2" w:rsidRDefault="00DE7B7D" w:rsidP="00D35464">
            <w:pPr>
              <w:rPr>
                <w:rFonts w:ascii="Arial" w:hAnsi="Arial" w:cs="Arial"/>
                <w:sz w:val="18"/>
                <w:szCs w:val="18"/>
              </w:rPr>
            </w:pPr>
            <w:r>
              <w:rPr>
                <w:rFonts w:ascii="Arial" w:hAnsi="Arial" w:cs="Arial"/>
                <w:sz w:val="18"/>
                <w:szCs w:val="18"/>
              </w:rPr>
              <w:t>The school will develop the growth mind set across the school and children will be supported within class to encourage a ‘can do’ attitude to learning.</w:t>
            </w:r>
          </w:p>
        </w:tc>
      </w:tr>
      <w:tr w:rsidR="002954A6" w:rsidRPr="002954A6" w14:paraId="712AA8B8" w14:textId="77777777" w:rsidTr="00A24C66">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F423878" w:rsidR="00915380" w:rsidRPr="00AE78F2" w:rsidRDefault="001F59FC" w:rsidP="007F271A">
            <w:pPr>
              <w:rPr>
                <w:rFonts w:ascii="Arial" w:hAnsi="Arial" w:cs="Arial"/>
                <w:sz w:val="18"/>
                <w:szCs w:val="18"/>
              </w:rPr>
            </w:pPr>
            <w:r>
              <w:rPr>
                <w:rFonts w:ascii="Arial" w:hAnsi="Arial" w:cs="Arial"/>
                <w:sz w:val="18"/>
                <w:szCs w:val="18"/>
              </w:rPr>
              <w:t>Social and emotional issues will be addressed and reduced through targeted provision.</w:t>
            </w:r>
          </w:p>
        </w:tc>
        <w:tc>
          <w:tcPr>
            <w:tcW w:w="6095" w:type="dxa"/>
          </w:tcPr>
          <w:p w14:paraId="4D813713" w14:textId="3B66C921" w:rsidR="00A6273A" w:rsidRPr="00AE78F2" w:rsidRDefault="001F59FC" w:rsidP="006C7C85">
            <w:pPr>
              <w:rPr>
                <w:rFonts w:ascii="Arial" w:hAnsi="Arial" w:cs="Arial"/>
                <w:sz w:val="18"/>
                <w:szCs w:val="18"/>
              </w:rPr>
            </w:pPr>
            <w:r>
              <w:rPr>
                <w:rFonts w:ascii="Arial" w:hAnsi="Arial" w:cs="Arial"/>
                <w:sz w:val="18"/>
                <w:szCs w:val="18"/>
              </w:rPr>
              <w:t xml:space="preserve">Social and emotional issues will be addressed and will make progress socially and emotionally. </w:t>
            </w:r>
          </w:p>
        </w:tc>
      </w:tr>
      <w:tr w:rsidR="002954A6" w:rsidRPr="002954A6" w14:paraId="4901A4FC" w14:textId="77777777" w:rsidTr="00A24C66">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1835BF4E" w:rsidR="00915380" w:rsidRPr="00AE78F2" w:rsidRDefault="00A24C66" w:rsidP="006E6C0F">
            <w:pPr>
              <w:rPr>
                <w:rFonts w:ascii="Arial" w:hAnsi="Arial" w:cs="Arial"/>
                <w:sz w:val="18"/>
                <w:szCs w:val="18"/>
              </w:rPr>
            </w:pPr>
            <w:r>
              <w:rPr>
                <w:rFonts w:ascii="Arial" w:hAnsi="Arial" w:cs="Arial"/>
                <w:sz w:val="18"/>
                <w:szCs w:val="18"/>
              </w:rPr>
              <w:t>Children eligible for PP will have equal access to enrichment activities such as trips and clubs.</w:t>
            </w:r>
          </w:p>
        </w:tc>
        <w:tc>
          <w:tcPr>
            <w:tcW w:w="6095" w:type="dxa"/>
          </w:tcPr>
          <w:p w14:paraId="2262F299" w14:textId="45F80851" w:rsidR="00A6273A" w:rsidRPr="00AE78F2" w:rsidRDefault="00A24C66" w:rsidP="008F0F73">
            <w:pPr>
              <w:rPr>
                <w:rFonts w:ascii="Arial" w:hAnsi="Arial" w:cs="Arial"/>
                <w:sz w:val="18"/>
                <w:szCs w:val="18"/>
              </w:rPr>
            </w:pPr>
            <w:r>
              <w:rPr>
                <w:rFonts w:ascii="Arial" w:hAnsi="Arial" w:cs="Arial"/>
                <w:sz w:val="18"/>
                <w:szCs w:val="18"/>
              </w:rPr>
              <w:t>All families will be offered support for enrichment activities such as trips and clubs.</w:t>
            </w:r>
          </w:p>
        </w:tc>
      </w:tr>
      <w:tr w:rsidR="00561669" w:rsidRPr="002954A6" w14:paraId="28609333" w14:textId="77777777" w:rsidTr="00A24C66">
        <w:tc>
          <w:tcPr>
            <w:tcW w:w="817" w:type="dxa"/>
            <w:tcMar>
              <w:top w:w="57" w:type="dxa"/>
              <w:bottom w:w="57" w:type="dxa"/>
            </w:tcMar>
          </w:tcPr>
          <w:p w14:paraId="625BC59F" w14:textId="77777777" w:rsidR="00561669" w:rsidRPr="002954A6" w:rsidRDefault="0056166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75B94CC2" w14:textId="1BFBDACE" w:rsidR="00561669" w:rsidRDefault="00561669" w:rsidP="006E6C0F">
            <w:pPr>
              <w:rPr>
                <w:rFonts w:ascii="Arial" w:hAnsi="Arial" w:cs="Arial"/>
                <w:sz w:val="18"/>
                <w:szCs w:val="18"/>
              </w:rPr>
            </w:pPr>
            <w:r>
              <w:rPr>
                <w:rFonts w:ascii="Arial" w:hAnsi="Arial" w:cs="Arial"/>
                <w:sz w:val="18"/>
                <w:szCs w:val="18"/>
              </w:rPr>
              <w:t>To continue to raise attainment of children eligible for PP who are not identified as having SEND.</w:t>
            </w:r>
          </w:p>
        </w:tc>
        <w:tc>
          <w:tcPr>
            <w:tcW w:w="6095" w:type="dxa"/>
          </w:tcPr>
          <w:p w14:paraId="60C2B32C" w14:textId="02480B4F" w:rsidR="00561669" w:rsidRDefault="00561669" w:rsidP="008F0F73">
            <w:pPr>
              <w:rPr>
                <w:rFonts w:ascii="Arial" w:hAnsi="Arial" w:cs="Arial"/>
                <w:sz w:val="18"/>
                <w:szCs w:val="18"/>
              </w:rPr>
            </w:pPr>
            <w:r>
              <w:rPr>
                <w:rFonts w:ascii="Arial" w:hAnsi="Arial" w:cs="Arial"/>
                <w:sz w:val="18"/>
                <w:szCs w:val="18"/>
              </w:rPr>
              <w:t xml:space="preserve">Children that are eligible for PP but not </w:t>
            </w:r>
            <w:r w:rsidR="00DD361C">
              <w:rPr>
                <w:rFonts w:ascii="Arial" w:hAnsi="Arial" w:cs="Arial"/>
                <w:sz w:val="18"/>
                <w:szCs w:val="18"/>
              </w:rPr>
              <w:t>identified as having SEND are making as much progress as their peers.</w:t>
            </w:r>
          </w:p>
        </w:tc>
      </w:tr>
    </w:tbl>
    <w:p w14:paraId="43512385" w14:textId="6E3A876B" w:rsidR="00CF1B9B" w:rsidRPr="002954A6" w:rsidRDefault="00CF1B9B">
      <w:r w:rsidRPr="002954A6">
        <w:br w:type="page"/>
      </w:r>
    </w:p>
    <w:tbl>
      <w:tblPr>
        <w:tblStyle w:val="TableGrid"/>
        <w:tblW w:w="15116" w:type="dxa"/>
        <w:tblLayout w:type="fixed"/>
        <w:tblLook w:val="04A0" w:firstRow="1" w:lastRow="0" w:firstColumn="1" w:lastColumn="0" w:noHBand="0" w:noVBand="1"/>
      </w:tblPr>
      <w:tblGrid>
        <w:gridCol w:w="3834"/>
        <w:gridCol w:w="6093"/>
        <w:gridCol w:w="5189"/>
      </w:tblGrid>
      <w:tr w:rsidR="007B7C20" w:rsidRPr="002954A6" w14:paraId="2F6D9F8B" w14:textId="77777777" w:rsidTr="00E84844">
        <w:trPr>
          <w:trHeight w:val="291"/>
        </w:trPr>
        <w:tc>
          <w:tcPr>
            <w:tcW w:w="15116" w:type="dxa"/>
            <w:gridSpan w:val="3"/>
            <w:tcMar>
              <w:top w:w="57" w:type="dxa"/>
              <w:bottom w:w="57" w:type="dxa"/>
            </w:tcMar>
          </w:tcPr>
          <w:p w14:paraId="68AF7D7A" w14:textId="77777777" w:rsidR="007B7C20" w:rsidRDefault="007B7C20" w:rsidP="007B7C20">
            <w:pPr>
              <w:jc w:val="center"/>
              <w:rPr>
                <w:rFonts w:ascii="Arial" w:hAnsi="Arial" w:cs="Arial"/>
                <w:b/>
              </w:rPr>
            </w:pPr>
          </w:p>
        </w:tc>
      </w:tr>
      <w:tr w:rsidR="007B7C20" w:rsidRPr="002954A6" w14:paraId="552B8829" w14:textId="77777777" w:rsidTr="007B7C20">
        <w:trPr>
          <w:trHeight w:val="291"/>
        </w:trPr>
        <w:tc>
          <w:tcPr>
            <w:tcW w:w="3834" w:type="dxa"/>
            <w:tcMar>
              <w:top w:w="57" w:type="dxa"/>
              <w:bottom w:w="57" w:type="dxa"/>
            </w:tcMar>
          </w:tcPr>
          <w:p w14:paraId="2EFC527D" w14:textId="77777777" w:rsidR="007B7C20" w:rsidRPr="002954A6" w:rsidRDefault="007B7C20" w:rsidP="007B7C20">
            <w:pPr>
              <w:jc w:val="cente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6093" w:type="dxa"/>
            <w:shd w:val="clear" w:color="auto" w:fill="auto"/>
            <w:tcMar>
              <w:top w:w="57" w:type="dxa"/>
              <w:bottom w:w="57" w:type="dxa"/>
            </w:tcMar>
          </w:tcPr>
          <w:p w14:paraId="20F560D3" w14:textId="00FC1CFA" w:rsidR="007B7C20" w:rsidRPr="002954A6" w:rsidRDefault="007B7C20" w:rsidP="007B7C20">
            <w:pPr>
              <w:jc w:val="center"/>
              <w:rPr>
                <w:rFonts w:ascii="Arial" w:hAnsi="Arial" w:cs="Arial"/>
                <w:b/>
              </w:rPr>
            </w:pPr>
            <w:r>
              <w:rPr>
                <w:rFonts w:ascii="Arial" w:hAnsi="Arial" w:cs="Arial"/>
                <w:b/>
              </w:rPr>
              <w:t>Rationale</w:t>
            </w:r>
          </w:p>
        </w:tc>
        <w:tc>
          <w:tcPr>
            <w:tcW w:w="5189" w:type="dxa"/>
            <w:shd w:val="clear" w:color="auto" w:fill="auto"/>
            <w:tcMar>
              <w:top w:w="57" w:type="dxa"/>
              <w:bottom w:w="57" w:type="dxa"/>
            </w:tcMar>
          </w:tcPr>
          <w:p w14:paraId="00904936" w14:textId="079EE659" w:rsidR="007B7C20" w:rsidRPr="002954A6" w:rsidRDefault="007B7C20" w:rsidP="007B7C20">
            <w:pPr>
              <w:jc w:val="center"/>
              <w:rPr>
                <w:rFonts w:ascii="Arial" w:hAnsi="Arial" w:cs="Arial"/>
                <w:b/>
              </w:rPr>
            </w:pPr>
            <w:r>
              <w:rPr>
                <w:rFonts w:ascii="Arial" w:hAnsi="Arial" w:cs="Arial"/>
                <w:b/>
              </w:rPr>
              <w:t>Expenditure</w:t>
            </w:r>
          </w:p>
        </w:tc>
      </w:tr>
      <w:tr w:rsidR="007B7C20" w:rsidRPr="002954A6" w14:paraId="286DE909" w14:textId="77777777" w:rsidTr="007B7C20">
        <w:trPr>
          <w:trHeight w:val="291"/>
        </w:trPr>
        <w:tc>
          <w:tcPr>
            <w:tcW w:w="3834" w:type="dxa"/>
            <w:tcMar>
              <w:top w:w="57" w:type="dxa"/>
              <w:bottom w:w="57" w:type="dxa"/>
            </w:tcMar>
          </w:tcPr>
          <w:p w14:paraId="3F58760F" w14:textId="77777777" w:rsidR="007B7C20" w:rsidRDefault="007B7C20" w:rsidP="006F0B6A">
            <w:pPr>
              <w:rPr>
                <w:rFonts w:ascii="Arial" w:hAnsi="Arial" w:cs="Arial"/>
                <w:sz w:val="18"/>
                <w:szCs w:val="18"/>
              </w:rPr>
            </w:pPr>
            <w:r>
              <w:rPr>
                <w:rFonts w:ascii="Arial" w:hAnsi="Arial" w:cs="Arial"/>
                <w:sz w:val="18"/>
                <w:szCs w:val="18"/>
              </w:rPr>
              <w:t>Targeted 1:1 or small group interventions.</w:t>
            </w:r>
          </w:p>
          <w:p w14:paraId="3FB5FB8F" w14:textId="77777777" w:rsidR="00CD38F9" w:rsidRDefault="00CD38F9" w:rsidP="006F0B6A">
            <w:pPr>
              <w:rPr>
                <w:rFonts w:ascii="Arial" w:hAnsi="Arial" w:cs="Arial"/>
                <w:sz w:val="18"/>
                <w:szCs w:val="18"/>
              </w:rPr>
            </w:pPr>
          </w:p>
          <w:p w14:paraId="43807C2F" w14:textId="77777777" w:rsidR="00CD38F9" w:rsidRDefault="00CD38F9" w:rsidP="006F0B6A">
            <w:pPr>
              <w:rPr>
                <w:rFonts w:ascii="Arial" w:hAnsi="Arial" w:cs="Arial"/>
                <w:sz w:val="18"/>
                <w:szCs w:val="18"/>
              </w:rPr>
            </w:pPr>
          </w:p>
          <w:p w14:paraId="3328EBBF" w14:textId="77777777" w:rsidR="00CD38F9" w:rsidRDefault="00CD38F9" w:rsidP="006F0B6A">
            <w:pPr>
              <w:rPr>
                <w:rFonts w:ascii="Arial" w:hAnsi="Arial" w:cs="Arial"/>
                <w:sz w:val="18"/>
                <w:szCs w:val="18"/>
              </w:rPr>
            </w:pPr>
          </w:p>
          <w:p w14:paraId="47B38AFA" w14:textId="43E8BB9A" w:rsidR="00CD38F9" w:rsidRPr="007D57A6" w:rsidRDefault="00CD38F9" w:rsidP="006F0B6A">
            <w:pPr>
              <w:rPr>
                <w:rFonts w:ascii="Arial" w:hAnsi="Arial" w:cs="Arial"/>
                <w:sz w:val="18"/>
                <w:szCs w:val="18"/>
              </w:rPr>
            </w:pPr>
            <w:r>
              <w:rPr>
                <w:rFonts w:ascii="Arial" w:hAnsi="Arial" w:cs="Arial"/>
                <w:sz w:val="18"/>
                <w:szCs w:val="18"/>
              </w:rPr>
              <w:t>Support Staff</w:t>
            </w:r>
          </w:p>
        </w:tc>
        <w:tc>
          <w:tcPr>
            <w:tcW w:w="6093" w:type="dxa"/>
            <w:shd w:val="clear" w:color="auto" w:fill="auto"/>
            <w:tcMar>
              <w:top w:w="57" w:type="dxa"/>
              <w:bottom w:w="57" w:type="dxa"/>
            </w:tcMar>
          </w:tcPr>
          <w:p w14:paraId="4DE774FB" w14:textId="12DEA0F3" w:rsidR="007B7C20" w:rsidRPr="007D57A6" w:rsidRDefault="007B7C20" w:rsidP="00D35464">
            <w:pPr>
              <w:rPr>
                <w:rFonts w:ascii="Arial" w:hAnsi="Arial" w:cs="Arial"/>
                <w:sz w:val="18"/>
                <w:szCs w:val="18"/>
              </w:rPr>
            </w:pPr>
            <w:r>
              <w:rPr>
                <w:rFonts w:ascii="Arial" w:hAnsi="Arial" w:cs="Arial"/>
                <w:sz w:val="18"/>
                <w:szCs w:val="18"/>
              </w:rPr>
              <w:t xml:space="preserve">Evidence indicates that with qualified staff small group and 1:1 support is effective. Short and regular sessions over a period of time have been shown to have optimum impact. </w:t>
            </w:r>
          </w:p>
        </w:tc>
        <w:tc>
          <w:tcPr>
            <w:tcW w:w="5189" w:type="dxa"/>
            <w:shd w:val="clear" w:color="auto" w:fill="auto"/>
            <w:tcMar>
              <w:top w:w="57" w:type="dxa"/>
              <w:bottom w:w="57" w:type="dxa"/>
            </w:tcMar>
          </w:tcPr>
          <w:p w14:paraId="5271EC25" w14:textId="77777777" w:rsidR="007B7C20" w:rsidRDefault="00F2036B" w:rsidP="00F2036B">
            <w:pPr>
              <w:jc w:val="center"/>
              <w:rPr>
                <w:rFonts w:ascii="Arial" w:hAnsi="Arial" w:cs="Arial"/>
                <w:sz w:val="18"/>
                <w:szCs w:val="18"/>
              </w:rPr>
            </w:pPr>
            <w:r w:rsidRPr="00F2036B">
              <w:rPr>
                <w:rFonts w:ascii="Arial" w:hAnsi="Arial" w:cs="Arial"/>
                <w:sz w:val="18"/>
                <w:szCs w:val="18"/>
              </w:rPr>
              <w:t>£16,759.48</w:t>
            </w:r>
          </w:p>
          <w:p w14:paraId="777D222D" w14:textId="77777777" w:rsidR="00CD38F9" w:rsidRDefault="00CD38F9" w:rsidP="00F2036B">
            <w:pPr>
              <w:jc w:val="center"/>
              <w:rPr>
                <w:rFonts w:ascii="Arial" w:hAnsi="Arial" w:cs="Arial"/>
                <w:sz w:val="18"/>
                <w:szCs w:val="18"/>
              </w:rPr>
            </w:pPr>
          </w:p>
          <w:p w14:paraId="16951747" w14:textId="77777777" w:rsidR="00CD38F9" w:rsidRDefault="00CD38F9" w:rsidP="00F2036B">
            <w:pPr>
              <w:jc w:val="center"/>
              <w:rPr>
                <w:rFonts w:ascii="Arial" w:hAnsi="Arial" w:cs="Arial"/>
                <w:sz w:val="18"/>
                <w:szCs w:val="18"/>
              </w:rPr>
            </w:pPr>
          </w:p>
          <w:p w14:paraId="70AACD17" w14:textId="77777777" w:rsidR="00CD38F9" w:rsidRDefault="00CD38F9" w:rsidP="00F2036B">
            <w:pPr>
              <w:jc w:val="center"/>
              <w:rPr>
                <w:rFonts w:ascii="Arial" w:hAnsi="Arial" w:cs="Arial"/>
                <w:sz w:val="18"/>
                <w:szCs w:val="18"/>
              </w:rPr>
            </w:pPr>
          </w:p>
          <w:p w14:paraId="2884FE1C" w14:textId="638AE470" w:rsidR="00CD38F9" w:rsidRPr="00F2036B" w:rsidRDefault="00CD38F9" w:rsidP="00F2036B">
            <w:pPr>
              <w:jc w:val="center"/>
              <w:rPr>
                <w:rFonts w:ascii="Arial" w:hAnsi="Arial" w:cs="Arial"/>
                <w:sz w:val="18"/>
                <w:szCs w:val="18"/>
              </w:rPr>
            </w:pPr>
            <w:r>
              <w:rPr>
                <w:rFonts w:ascii="Arial" w:hAnsi="Arial" w:cs="Arial"/>
                <w:sz w:val="18"/>
                <w:szCs w:val="18"/>
              </w:rPr>
              <w:t>£6,251.64</w:t>
            </w:r>
          </w:p>
        </w:tc>
      </w:tr>
      <w:tr w:rsidR="00F2036B" w:rsidRPr="002954A6" w14:paraId="28833020" w14:textId="77777777" w:rsidTr="007B7C20">
        <w:trPr>
          <w:trHeight w:hRule="exact" w:val="2199"/>
        </w:trPr>
        <w:tc>
          <w:tcPr>
            <w:tcW w:w="3834" w:type="dxa"/>
            <w:tcMar>
              <w:top w:w="57" w:type="dxa"/>
              <w:bottom w:w="57" w:type="dxa"/>
            </w:tcMar>
          </w:tcPr>
          <w:p w14:paraId="6E47EFA6" w14:textId="72605E6B" w:rsidR="00F2036B" w:rsidRPr="00AE78F2" w:rsidRDefault="00F2036B" w:rsidP="007F271A">
            <w:pPr>
              <w:rPr>
                <w:rFonts w:ascii="Arial" w:hAnsi="Arial" w:cs="Arial"/>
                <w:sz w:val="18"/>
                <w:szCs w:val="18"/>
              </w:rPr>
            </w:pPr>
            <w:r>
              <w:rPr>
                <w:rFonts w:ascii="Arial" w:hAnsi="Arial" w:cs="Arial"/>
                <w:sz w:val="18"/>
                <w:szCs w:val="18"/>
              </w:rPr>
              <w:t>Contributions to enrichment activities such as trips and clubs.</w:t>
            </w:r>
          </w:p>
        </w:tc>
        <w:tc>
          <w:tcPr>
            <w:tcW w:w="6093" w:type="dxa"/>
            <w:tcMar>
              <w:top w:w="57" w:type="dxa"/>
              <w:bottom w:w="57" w:type="dxa"/>
            </w:tcMar>
          </w:tcPr>
          <w:p w14:paraId="58C19323" w14:textId="35FF2097" w:rsidR="00F2036B" w:rsidRPr="00AE78F2" w:rsidRDefault="00F2036B" w:rsidP="00A26643">
            <w:pPr>
              <w:rPr>
                <w:rFonts w:ascii="Arial" w:hAnsi="Arial" w:cs="Arial"/>
                <w:sz w:val="18"/>
                <w:szCs w:val="18"/>
              </w:rPr>
            </w:pPr>
            <w:r>
              <w:rPr>
                <w:rFonts w:ascii="Arial" w:hAnsi="Arial" w:cs="Arial"/>
                <w:sz w:val="18"/>
                <w:szCs w:val="18"/>
              </w:rPr>
              <w:t>All children have equal access to all areas of school life and there is increased involvement in out of school opportunities for those eligible for PP. Children are not missing out on potential curriculum links that for example can inform their writing.</w:t>
            </w:r>
          </w:p>
        </w:tc>
        <w:tc>
          <w:tcPr>
            <w:tcW w:w="5189" w:type="dxa"/>
            <w:vMerge w:val="restart"/>
            <w:shd w:val="clear" w:color="auto" w:fill="auto"/>
            <w:tcMar>
              <w:top w:w="57" w:type="dxa"/>
              <w:bottom w:w="57" w:type="dxa"/>
            </w:tcMar>
          </w:tcPr>
          <w:p w14:paraId="4FD85F6F" w14:textId="3FFE9DDD" w:rsidR="00F2036B" w:rsidRPr="00AE78F2" w:rsidRDefault="00F2036B" w:rsidP="00F2036B">
            <w:pPr>
              <w:jc w:val="center"/>
              <w:rPr>
                <w:rFonts w:ascii="Arial" w:hAnsi="Arial" w:cs="Arial"/>
                <w:sz w:val="18"/>
                <w:szCs w:val="18"/>
                <w:highlight w:val="yellow"/>
              </w:rPr>
            </w:pPr>
            <w:r>
              <w:rPr>
                <w:rFonts w:ascii="Arial" w:hAnsi="Arial" w:cs="Arial"/>
                <w:sz w:val="18"/>
                <w:szCs w:val="18"/>
              </w:rPr>
              <w:t>£1,992.96</w:t>
            </w:r>
          </w:p>
        </w:tc>
      </w:tr>
      <w:tr w:rsidR="00F2036B" w:rsidRPr="002954A6" w14:paraId="0DF205A5" w14:textId="77777777" w:rsidTr="007B7C20">
        <w:trPr>
          <w:trHeight w:hRule="exact" w:val="1835"/>
        </w:trPr>
        <w:tc>
          <w:tcPr>
            <w:tcW w:w="3834" w:type="dxa"/>
            <w:tcMar>
              <w:top w:w="57" w:type="dxa"/>
              <w:bottom w:w="57" w:type="dxa"/>
            </w:tcMar>
          </w:tcPr>
          <w:p w14:paraId="69BCA213" w14:textId="6FD29A1E" w:rsidR="00F2036B" w:rsidRPr="00004FB6" w:rsidRDefault="00F2036B" w:rsidP="00125340">
            <w:pPr>
              <w:rPr>
                <w:rFonts w:ascii="Arial" w:hAnsi="Arial" w:cs="Arial"/>
                <w:sz w:val="18"/>
                <w:szCs w:val="18"/>
              </w:rPr>
            </w:pPr>
            <w:r>
              <w:rPr>
                <w:rFonts w:ascii="Arial" w:hAnsi="Arial" w:cs="Arial"/>
                <w:sz w:val="18"/>
                <w:szCs w:val="18"/>
              </w:rPr>
              <w:t>Contribution towards school uniform and resources.</w:t>
            </w:r>
          </w:p>
        </w:tc>
        <w:tc>
          <w:tcPr>
            <w:tcW w:w="6093" w:type="dxa"/>
            <w:tcMar>
              <w:top w:w="57" w:type="dxa"/>
              <w:bottom w:w="57" w:type="dxa"/>
            </w:tcMar>
          </w:tcPr>
          <w:p w14:paraId="04A2B402" w14:textId="7F2FB02C" w:rsidR="00F2036B" w:rsidRPr="00004FB6" w:rsidRDefault="00F2036B" w:rsidP="007D57A6">
            <w:pPr>
              <w:rPr>
                <w:rFonts w:ascii="Arial" w:hAnsi="Arial" w:cs="Arial"/>
                <w:sz w:val="18"/>
                <w:szCs w:val="18"/>
              </w:rPr>
            </w:pPr>
            <w:r>
              <w:rPr>
                <w:rFonts w:ascii="Arial" w:hAnsi="Arial" w:cs="Arial"/>
                <w:sz w:val="18"/>
                <w:szCs w:val="18"/>
              </w:rPr>
              <w:t>Uniform is provided to support parents financially. We want to ensure that all children are seen as equal and have the same opportunities provided to them. This may involve helping parents to provide a PE kit for their child so that they are able to participate in lessons or clubs.</w:t>
            </w:r>
          </w:p>
        </w:tc>
        <w:tc>
          <w:tcPr>
            <w:tcW w:w="5189" w:type="dxa"/>
            <w:vMerge/>
            <w:tcMar>
              <w:top w:w="57" w:type="dxa"/>
              <w:bottom w:w="57" w:type="dxa"/>
            </w:tcMar>
          </w:tcPr>
          <w:p w14:paraId="6B4012C2" w14:textId="5F3B615A" w:rsidR="00F2036B" w:rsidRPr="00004FB6" w:rsidRDefault="00F2036B" w:rsidP="00C73995">
            <w:pPr>
              <w:rPr>
                <w:rFonts w:ascii="Arial" w:hAnsi="Arial" w:cs="Arial"/>
                <w:sz w:val="18"/>
                <w:szCs w:val="18"/>
              </w:rPr>
            </w:pPr>
          </w:p>
        </w:tc>
      </w:tr>
      <w:tr w:rsidR="007B7C20" w:rsidRPr="002954A6" w14:paraId="4684DC39" w14:textId="77777777" w:rsidTr="007B7C20">
        <w:trPr>
          <w:trHeight w:hRule="exact" w:val="2786"/>
        </w:trPr>
        <w:tc>
          <w:tcPr>
            <w:tcW w:w="3834" w:type="dxa"/>
            <w:tcMar>
              <w:top w:w="57" w:type="dxa"/>
              <w:bottom w:w="57" w:type="dxa"/>
            </w:tcMar>
          </w:tcPr>
          <w:p w14:paraId="1C411042" w14:textId="45A2AE76" w:rsidR="007B7C20" w:rsidRPr="00004FB6" w:rsidRDefault="007B7C20" w:rsidP="00467124">
            <w:pPr>
              <w:rPr>
                <w:rFonts w:ascii="Arial" w:hAnsi="Arial" w:cs="Arial"/>
                <w:sz w:val="18"/>
                <w:szCs w:val="18"/>
              </w:rPr>
            </w:pPr>
            <w:r>
              <w:rPr>
                <w:rFonts w:ascii="Arial" w:hAnsi="Arial" w:cs="Arial"/>
                <w:sz w:val="18"/>
                <w:szCs w:val="18"/>
              </w:rPr>
              <w:t>Teachers to identify those children that need social and/or emotional support. To use nurture approaches to focus on positive behaviours and provide time to talk.</w:t>
            </w:r>
          </w:p>
        </w:tc>
        <w:tc>
          <w:tcPr>
            <w:tcW w:w="6093" w:type="dxa"/>
            <w:tcMar>
              <w:top w:w="57" w:type="dxa"/>
              <w:bottom w:w="57" w:type="dxa"/>
            </w:tcMar>
          </w:tcPr>
          <w:p w14:paraId="74F5FB0F" w14:textId="5FB70407" w:rsidR="007B7C20" w:rsidRPr="00004FB6" w:rsidRDefault="007B7C20" w:rsidP="000C2B05">
            <w:pPr>
              <w:rPr>
                <w:rFonts w:ascii="Arial" w:hAnsi="Arial" w:cs="Arial"/>
                <w:sz w:val="18"/>
                <w:szCs w:val="18"/>
              </w:rPr>
            </w:pPr>
            <w:r>
              <w:rPr>
                <w:rFonts w:ascii="Arial" w:hAnsi="Arial" w:cs="Arial"/>
                <w:sz w:val="18"/>
                <w:szCs w:val="18"/>
              </w:rPr>
              <w:t>Nurture groups provide an opportunity to focus on the emotional growth of children eligible for PP. When children are supported well emotionally and socially they have an increased ability to learn.</w:t>
            </w:r>
          </w:p>
        </w:tc>
        <w:tc>
          <w:tcPr>
            <w:tcW w:w="5189" w:type="dxa"/>
            <w:tcMar>
              <w:top w:w="57" w:type="dxa"/>
              <w:bottom w:w="57" w:type="dxa"/>
            </w:tcMar>
          </w:tcPr>
          <w:p w14:paraId="25462400" w14:textId="2CE01D4C" w:rsidR="007B7C20" w:rsidRDefault="00415E4B" w:rsidP="00F2036B">
            <w:pPr>
              <w:jc w:val="center"/>
              <w:rPr>
                <w:rFonts w:ascii="Arial" w:hAnsi="Arial" w:cs="Arial"/>
                <w:sz w:val="18"/>
                <w:szCs w:val="18"/>
              </w:rPr>
            </w:pPr>
            <w:r>
              <w:rPr>
                <w:rFonts w:ascii="Arial" w:hAnsi="Arial" w:cs="Arial"/>
                <w:sz w:val="18"/>
                <w:szCs w:val="18"/>
              </w:rPr>
              <w:t>Staff: £</w:t>
            </w:r>
            <w:r w:rsidR="004B711D">
              <w:rPr>
                <w:rFonts w:ascii="Arial" w:hAnsi="Arial" w:cs="Arial"/>
                <w:sz w:val="18"/>
                <w:szCs w:val="18"/>
              </w:rPr>
              <w:t>13,140.02</w:t>
            </w:r>
          </w:p>
          <w:p w14:paraId="3E2A547F" w14:textId="77777777" w:rsidR="00415E4B" w:rsidRDefault="00415E4B" w:rsidP="00F2036B">
            <w:pPr>
              <w:jc w:val="center"/>
              <w:rPr>
                <w:rFonts w:ascii="Arial" w:hAnsi="Arial" w:cs="Arial"/>
                <w:sz w:val="18"/>
                <w:szCs w:val="18"/>
              </w:rPr>
            </w:pPr>
          </w:p>
          <w:p w14:paraId="086F2669" w14:textId="31776D70" w:rsidR="00415E4B" w:rsidRPr="00004FB6" w:rsidRDefault="004B711D" w:rsidP="00F2036B">
            <w:pPr>
              <w:jc w:val="center"/>
              <w:rPr>
                <w:rFonts w:ascii="Arial" w:hAnsi="Arial" w:cs="Arial"/>
                <w:sz w:val="18"/>
                <w:szCs w:val="18"/>
              </w:rPr>
            </w:pPr>
            <w:r>
              <w:rPr>
                <w:rFonts w:ascii="Arial" w:hAnsi="Arial" w:cs="Arial"/>
                <w:sz w:val="18"/>
                <w:szCs w:val="18"/>
              </w:rPr>
              <w:t>Resources: £230</w:t>
            </w:r>
          </w:p>
        </w:tc>
      </w:tr>
      <w:tr w:rsidR="007B7C20" w:rsidRPr="002954A6" w14:paraId="6186520C" w14:textId="77777777" w:rsidTr="007B7C20">
        <w:trPr>
          <w:trHeight w:val="685"/>
        </w:trPr>
        <w:tc>
          <w:tcPr>
            <w:tcW w:w="3834" w:type="dxa"/>
            <w:tcMar>
              <w:top w:w="57" w:type="dxa"/>
              <w:bottom w:w="57" w:type="dxa"/>
            </w:tcMar>
          </w:tcPr>
          <w:p w14:paraId="4E46B61A" w14:textId="0EDFE394" w:rsidR="007B7C20" w:rsidRPr="00AE78F2" w:rsidRDefault="007B7C20" w:rsidP="000C2B05">
            <w:pPr>
              <w:rPr>
                <w:rFonts w:ascii="Arial" w:hAnsi="Arial" w:cs="Arial"/>
                <w:sz w:val="18"/>
                <w:szCs w:val="18"/>
              </w:rPr>
            </w:pPr>
            <w:r>
              <w:rPr>
                <w:rFonts w:ascii="Arial" w:hAnsi="Arial" w:cs="Arial"/>
                <w:sz w:val="18"/>
                <w:szCs w:val="18"/>
              </w:rPr>
              <w:t>Payment for Free School Meals</w:t>
            </w:r>
          </w:p>
        </w:tc>
        <w:tc>
          <w:tcPr>
            <w:tcW w:w="6093" w:type="dxa"/>
            <w:tcMar>
              <w:top w:w="57" w:type="dxa"/>
              <w:bottom w:w="57" w:type="dxa"/>
            </w:tcMar>
          </w:tcPr>
          <w:p w14:paraId="623BCD3E" w14:textId="7A4EEFBC" w:rsidR="007B7C20" w:rsidRPr="00AE78F2" w:rsidRDefault="007B7C20" w:rsidP="00D8454C">
            <w:pPr>
              <w:rPr>
                <w:rFonts w:ascii="Arial" w:hAnsi="Arial" w:cs="Arial"/>
                <w:sz w:val="18"/>
                <w:szCs w:val="18"/>
              </w:rPr>
            </w:pPr>
            <w:r>
              <w:rPr>
                <w:rFonts w:ascii="Arial" w:hAnsi="Arial" w:cs="Arial"/>
                <w:sz w:val="18"/>
                <w:szCs w:val="18"/>
              </w:rPr>
              <w:t>Children who are eligible for PP are receiving a healthy and balanced diet. Although on its own meals will not improve children’s attainment it can be seen to impact on children’s behaviour and concentration within a classroom environment.</w:t>
            </w:r>
          </w:p>
          <w:p w14:paraId="2B3DAAC7" w14:textId="6A7CBBB5" w:rsidR="007B7C20" w:rsidRPr="00AE78F2" w:rsidRDefault="007B7C20" w:rsidP="00D8454C">
            <w:pPr>
              <w:rPr>
                <w:rFonts w:ascii="Arial" w:hAnsi="Arial" w:cs="Arial"/>
                <w:sz w:val="18"/>
                <w:szCs w:val="18"/>
              </w:rPr>
            </w:pPr>
          </w:p>
        </w:tc>
        <w:tc>
          <w:tcPr>
            <w:tcW w:w="5189" w:type="dxa"/>
            <w:tcMar>
              <w:top w:w="57" w:type="dxa"/>
              <w:bottom w:w="57" w:type="dxa"/>
            </w:tcMar>
          </w:tcPr>
          <w:p w14:paraId="2F550AB7" w14:textId="25FB040C" w:rsidR="007B7C20" w:rsidRPr="00AE78F2" w:rsidRDefault="00F2036B" w:rsidP="00F2036B">
            <w:pPr>
              <w:jc w:val="center"/>
              <w:rPr>
                <w:rFonts w:ascii="Arial" w:hAnsi="Arial" w:cs="Arial"/>
                <w:sz w:val="18"/>
                <w:szCs w:val="18"/>
              </w:rPr>
            </w:pPr>
            <w:r>
              <w:rPr>
                <w:rFonts w:ascii="Arial" w:hAnsi="Arial" w:cs="Arial"/>
                <w:sz w:val="18"/>
                <w:szCs w:val="18"/>
              </w:rPr>
              <w:t>£11,335.90</w:t>
            </w:r>
          </w:p>
        </w:tc>
      </w:tr>
      <w:tr w:rsidR="007B7C20" w:rsidRPr="002954A6" w14:paraId="5C7EA547" w14:textId="77777777" w:rsidTr="007B7C20">
        <w:trPr>
          <w:trHeight w:val="1158"/>
        </w:trPr>
        <w:tc>
          <w:tcPr>
            <w:tcW w:w="3834" w:type="dxa"/>
            <w:tcMar>
              <w:top w:w="57" w:type="dxa"/>
              <w:bottom w:w="57" w:type="dxa"/>
            </w:tcMar>
          </w:tcPr>
          <w:p w14:paraId="6F0B1051" w14:textId="1F01F8C0" w:rsidR="007B7C20" w:rsidRPr="00004FB6" w:rsidRDefault="004B711D" w:rsidP="00A23E08">
            <w:pPr>
              <w:rPr>
                <w:rFonts w:ascii="Arial" w:hAnsi="Arial" w:cs="Arial"/>
                <w:sz w:val="18"/>
                <w:szCs w:val="18"/>
              </w:rPr>
            </w:pPr>
            <w:r>
              <w:rPr>
                <w:rFonts w:ascii="Arial" w:hAnsi="Arial" w:cs="Arial"/>
                <w:sz w:val="18"/>
                <w:szCs w:val="18"/>
              </w:rPr>
              <w:lastRenderedPageBreak/>
              <w:t xml:space="preserve">Educational </w:t>
            </w:r>
            <w:r w:rsidR="00A23E08">
              <w:rPr>
                <w:rFonts w:ascii="Arial" w:hAnsi="Arial" w:cs="Arial"/>
                <w:sz w:val="18"/>
                <w:szCs w:val="18"/>
              </w:rPr>
              <w:t>s</w:t>
            </w:r>
            <w:r>
              <w:rPr>
                <w:rFonts w:ascii="Arial" w:hAnsi="Arial" w:cs="Arial"/>
                <w:sz w:val="18"/>
                <w:szCs w:val="18"/>
              </w:rPr>
              <w:t>pecialists</w:t>
            </w:r>
            <w:r w:rsidR="00A23E08">
              <w:rPr>
                <w:rFonts w:ascii="Arial" w:hAnsi="Arial" w:cs="Arial"/>
                <w:sz w:val="18"/>
                <w:szCs w:val="18"/>
              </w:rPr>
              <w:t xml:space="preserve"> </w:t>
            </w:r>
          </w:p>
        </w:tc>
        <w:tc>
          <w:tcPr>
            <w:tcW w:w="6093" w:type="dxa"/>
            <w:tcMar>
              <w:top w:w="57" w:type="dxa"/>
              <w:bottom w:w="57" w:type="dxa"/>
            </w:tcMar>
          </w:tcPr>
          <w:p w14:paraId="78A1FD1D" w14:textId="0FB8E556" w:rsidR="007B7C20" w:rsidRPr="00004FB6" w:rsidRDefault="00A23E08" w:rsidP="00C73995">
            <w:pPr>
              <w:rPr>
                <w:rFonts w:ascii="Arial" w:hAnsi="Arial" w:cs="Arial"/>
                <w:sz w:val="18"/>
                <w:szCs w:val="18"/>
              </w:rPr>
            </w:pPr>
            <w:r>
              <w:rPr>
                <w:rFonts w:ascii="Arial" w:hAnsi="Arial" w:cs="Arial"/>
                <w:sz w:val="18"/>
                <w:szCs w:val="18"/>
              </w:rPr>
              <w:t>Quicker referrals will be made to outside agencies to support children emotionally or with behavioural difficulties where necessary. There is also more opportunity to support those children that are eligible for PP and not identified as having SEND.</w:t>
            </w:r>
          </w:p>
          <w:p w14:paraId="79782A6E" w14:textId="44EE7CD0" w:rsidR="007B7C20" w:rsidRPr="00004FB6" w:rsidRDefault="007B7C20" w:rsidP="006C7C85">
            <w:pPr>
              <w:rPr>
                <w:rFonts w:ascii="Arial" w:hAnsi="Arial" w:cs="Arial"/>
                <w:sz w:val="18"/>
                <w:szCs w:val="18"/>
              </w:rPr>
            </w:pPr>
          </w:p>
        </w:tc>
        <w:tc>
          <w:tcPr>
            <w:tcW w:w="5189" w:type="dxa"/>
            <w:tcMar>
              <w:top w:w="57" w:type="dxa"/>
              <w:bottom w:w="57" w:type="dxa"/>
            </w:tcMar>
          </w:tcPr>
          <w:p w14:paraId="43410F59" w14:textId="5DADDA3A" w:rsidR="007B7C20" w:rsidRPr="00004FB6" w:rsidRDefault="004B711D" w:rsidP="004B711D">
            <w:pPr>
              <w:jc w:val="center"/>
              <w:rPr>
                <w:rFonts w:ascii="Arial" w:hAnsi="Arial" w:cs="Arial"/>
                <w:sz w:val="18"/>
                <w:szCs w:val="18"/>
              </w:rPr>
            </w:pPr>
            <w:r>
              <w:rPr>
                <w:rFonts w:ascii="Arial" w:hAnsi="Arial" w:cs="Arial"/>
                <w:sz w:val="18"/>
                <w:szCs w:val="18"/>
              </w:rPr>
              <w:t>£750</w:t>
            </w:r>
          </w:p>
        </w:tc>
      </w:tr>
      <w:tr w:rsidR="004B711D" w:rsidRPr="002954A6" w14:paraId="0968D6D1" w14:textId="77777777" w:rsidTr="007B7C20">
        <w:trPr>
          <w:trHeight w:val="1158"/>
        </w:trPr>
        <w:tc>
          <w:tcPr>
            <w:tcW w:w="3834" w:type="dxa"/>
            <w:tcMar>
              <w:top w:w="57" w:type="dxa"/>
              <w:bottom w:w="57" w:type="dxa"/>
            </w:tcMar>
          </w:tcPr>
          <w:p w14:paraId="7277EDBC" w14:textId="1605B372" w:rsidR="004B711D" w:rsidRDefault="004B711D" w:rsidP="00C73995">
            <w:pPr>
              <w:rPr>
                <w:rFonts w:ascii="Arial" w:hAnsi="Arial" w:cs="Arial"/>
                <w:sz w:val="18"/>
                <w:szCs w:val="18"/>
              </w:rPr>
            </w:pPr>
            <w:r>
              <w:rPr>
                <w:rFonts w:ascii="Arial" w:hAnsi="Arial" w:cs="Arial"/>
                <w:sz w:val="18"/>
                <w:szCs w:val="18"/>
              </w:rPr>
              <w:t>Resources</w:t>
            </w:r>
          </w:p>
        </w:tc>
        <w:tc>
          <w:tcPr>
            <w:tcW w:w="6093" w:type="dxa"/>
            <w:tcMar>
              <w:top w:w="57" w:type="dxa"/>
              <w:bottom w:w="57" w:type="dxa"/>
            </w:tcMar>
          </w:tcPr>
          <w:p w14:paraId="7DE834B6" w14:textId="6487B120" w:rsidR="004B711D" w:rsidRPr="00004FB6" w:rsidRDefault="00CD38F9" w:rsidP="00C73995">
            <w:pPr>
              <w:rPr>
                <w:rFonts w:ascii="Arial" w:hAnsi="Arial" w:cs="Arial"/>
                <w:sz w:val="18"/>
                <w:szCs w:val="18"/>
              </w:rPr>
            </w:pPr>
            <w:r>
              <w:rPr>
                <w:rFonts w:ascii="Arial" w:hAnsi="Arial" w:cs="Arial"/>
                <w:sz w:val="18"/>
                <w:szCs w:val="18"/>
              </w:rPr>
              <w:t>Resources allow interventions to run smoothly and provide a range of interesting ways for children eligible for PP to access their learning.</w:t>
            </w:r>
          </w:p>
        </w:tc>
        <w:tc>
          <w:tcPr>
            <w:tcW w:w="5189" w:type="dxa"/>
            <w:tcMar>
              <w:top w:w="57" w:type="dxa"/>
              <w:bottom w:w="57" w:type="dxa"/>
            </w:tcMar>
          </w:tcPr>
          <w:p w14:paraId="503B2E37" w14:textId="73C1D3A2" w:rsidR="004B711D" w:rsidRDefault="004B711D" w:rsidP="004B711D">
            <w:pPr>
              <w:jc w:val="center"/>
              <w:rPr>
                <w:rFonts w:ascii="Arial" w:hAnsi="Arial" w:cs="Arial"/>
                <w:sz w:val="18"/>
                <w:szCs w:val="18"/>
              </w:rPr>
            </w:pPr>
            <w:r>
              <w:rPr>
                <w:rFonts w:ascii="Arial" w:hAnsi="Arial" w:cs="Arial"/>
                <w:sz w:val="18"/>
                <w:szCs w:val="18"/>
              </w:rPr>
              <w:t>£300</w:t>
            </w:r>
          </w:p>
        </w:tc>
      </w:tr>
      <w:tr w:rsidR="004B711D" w:rsidRPr="002954A6" w14:paraId="72EF448D" w14:textId="77777777" w:rsidTr="00D213D5">
        <w:trPr>
          <w:trHeight w:val="347"/>
        </w:trPr>
        <w:tc>
          <w:tcPr>
            <w:tcW w:w="15116" w:type="dxa"/>
            <w:gridSpan w:val="3"/>
            <w:tcMar>
              <w:top w:w="57" w:type="dxa"/>
              <w:bottom w:w="57" w:type="dxa"/>
            </w:tcMar>
          </w:tcPr>
          <w:p w14:paraId="428E94CD" w14:textId="00F323F4" w:rsidR="004B711D" w:rsidRDefault="00D213D5" w:rsidP="00D213D5">
            <w:pPr>
              <w:jc w:val="center"/>
              <w:rPr>
                <w:rFonts w:ascii="Arial" w:hAnsi="Arial" w:cs="Arial"/>
                <w:sz w:val="18"/>
                <w:szCs w:val="18"/>
              </w:rPr>
            </w:pPr>
            <w:r>
              <w:rPr>
                <w:rFonts w:ascii="Arial" w:hAnsi="Arial" w:cs="Arial"/>
                <w:sz w:val="18"/>
                <w:szCs w:val="18"/>
              </w:rPr>
              <w:t xml:space="preserve">                                                                                                                                                                                         </w:t>
            </w:r>
            <w:r w:rsidR="004B711D">
              <w:rPr>
                <w:rFonts w:ascii="Arial" w:hAnsi="Arial" w:cs="Arial"/>
                <w:sz w:val="18"/>
                <w:szCs w:val="18"/>
              </w:rPr>
              <w:t>Total Expenditure: £50,760</w:t>
            </w:r>
          </w:p>
        </w:tc>
      </w:tr>
    </w:tbl>
    <w:p w14:paraId="0A6ABD91" w14:textId="5A516DFE" w:rsidR="00AE66C2" w:rsidRDefault="00AE66C2" w:rsidP="0004731E">
      <w:bookmarkStart w:id="1" w:name="_GoBack"/>
      <w:bookmarkEnd w:id="1"/>
    </w:p>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9981D" w14:textId="77777777" w:rsidR="00435936" w:rsidRDefault="00435936" w:rsidP="00CD68B1">
      <w:r>
        <w:separator/>
      </w:r>
    </w:p>
  </w:endnote>
  <w:endnote w:type="continuationSeparator" w:id="0">
    <w:p w14:paraId="7415609D" w14:textId="77777777" w:rsidR="00435936" w:rsidRDefault="0043593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C7DC1" w14:textId="77777777" w:rsidR="00435936" w:rsidRDefault="00435936" w:rsidP="00CD68B1">
      <w:r>
        <w:separator/>
      </w:r>
    </w:p>
  </w:footnote>
  <w:footnote w:type="continuationSeparator" w:id="0">
    <w:p w14:paraId="1DF0A005" w14:textId="77777777" w:rsidR="00435936" w:rsidRDefault="00435936"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1E"/>
    <w:rsid w:val="000473C9"/>
    <w:rsid w:val="000501F0"/>
    <w:rsid w:val="00052324"/>
    <w:rsid w:val="000557F9"/>
    <w:rsid w:val="00063367"/>
    <w:rsid w:val="000A25FC"/>
    <w:rsid w:val="000B25ED"/>
    <w:rsid w:val="000B5413"/>
    <w:rsid w:val="000C2B05"/>
    <w:rsid w:val="000C37C2"/>
    <w:rsid w:val="000C4CF8"/>
    <w:rsid w:val="000D0B47"/>
    <w:rsid w:val="000D480D"/>
    <w:rsid w:val="000D7ED1"/>
    <w:rsid w:val="000E4243"/>
    <w:rsid w:val="001137CF"/>
    <w:rsid w:val="00117186"/>
    <w:rsid w:val="00121D72"/>
    <w:rsid w:val="00125340"/>
    <w:rsid w:val="00125BA7"/>
    <w:rsid w:val="00131CA9"/>
    <w:rsid w:val="001849D6"/>
    <w:rsid w:val="001966CB"/>
    <w:rsid w:val="001B794A"/>
    <w:rsid w:val="001C686D"/>
    <w:rsid w:val="001E7B91"/>
    <w:rsid w:val="001F59FC"/>
    <w:rsid w:val="00232CF5"/>
    <w:rsid w:val="00240F98"/>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75331"/>
    <w:rsid w:val="00380587"/>
    <w:rsid w:val="003822C1"/>
    <w:rsid w:val="00390402"/>
    <w:rsid w:val="003957BD"/>
    <w:rsid w:val="003961A3"/>
    <w:rsid w:val="003B5C5D"/>
    <w:rsid w:val="003B6371"/>
    <w:rsid w:val="003C79F6"/>
    <w:rsid w:val="003D2143"/>
    <w:rsid w:val="003F7BE2"/>
    <w:rsid w:val="00402EED"/>
    <w:rsid w:val="004107D2"/>
    <w:rsid w:val="00415E4B"/>
    <w:rsid w:val="00423264"/>
    <w:rsid w:val="00435936"/>
    <w:rsid w:val="00456ABA"/>
    <w:rsid w:val="004642B2"/>
    <w:rsid w:val="004642BC"/>
    <w:rsid w:val="004667CF"/>
    <w:rsid w:val="004667DB"/>
    <w:rsid w:val="00467124"/>
    <w:rsid w:val="00481041"/>
    <w:rsid w:val="0049188F"/>
    <w:rsid w:val="00492683"/>
    <w:rsid w:val="00496D7D"/>
    <w:rsid w:val="004B3C35"/>
    <w:rsid w:val="004B711D"/>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1669"/>
    <w:rsid w:val="0056652E"/>
    <w:rsid w:val="005710AB"/>
    <w:rsid w:val="005832BE"/>
    <w:rsid w:val="0058583E"/>
    <w:rsid w:val="00597346"/>
    <w:rsid w:val="005A04D4"/>
    <w:rsid w:val="005A25B5"/>
    <w:rsid w:val="005A3451"/>
    <w:rsid w:val="005D06F3"/>
    <w:rsid w:val="005E2CF9"/>
    <w:rsid w:val="005E54F3"/>
    <w:rsid w:val="00601130"/>
    <w:rsid w:val="00611088"/>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B7C20"/>
    <w:rsid w:val="007C2B91"/>
    <w:rsid w:val="007C4F4A"/>
    <w:rsid w:val="007C749E"/>
    <w:rsid w:val="007D57A6"/>
    <w:rsid w:val="007F0CED"/>
    <w:rsid w:val="007F271A"/>
    <w:rsid w:val="007F3C16"/>
    <w:rsid w:val="00827203"/>
    <w:rsid w:val="0084389C"/>
    <w:rsid w:val="00845265"/>
    <w:rsid w:val="0085024F"/>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72129"/>
    <w:rsid w:val="00975740"/>
    <w:rsid w:val="00992C5E"/>
    <w:rsid w:val="009E7A9D"/>
    <w:rsid w:val="009F1341"/>
    <w:rsid w:val="009F480D"/>
    <w:rsid w:val="00A00036"/>
    <w:rsid w:val="00A13FBB"/>
    <w:rsid w:val="00A23E08"/>
    <w:rsid w:val="00A24C51"/>
    <w:rsid w:val="00A24C66"/>
    <w:rsid w:val="00A26643"/>
    <w:rsid w:val="00A32773"/>
    <w:rsid w:val="00A33F73"/>
    <w:rsid w:val="00A37195"/>
    <w:rsid w:val="00A37D2D"/>
    <w:rsid w:val="00A439AF"/>
    <w:rsid w:val="00A57107"/>
    <w:rsid w:val="00A60ECF"/>
    <w:rsid w:val="00A6273A"/>
    <w:rsid w:val="00A6366C"/>
    <w:rsid w:val="00A77153"/>
    <w:rsid w:val="00A8709B"/>
    <w:rsid w:val="00AB5B2A"/>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7733"/>
    <w:rsid w:val="00BE1E74"/>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A1AF5"/>
    <w:rsid w:val="00CD2230"/>
    <w:rsid w:val="00CD38F9"/>
    <w:rsid w:val="00CD68B1"/>
    <w:rsid w:val="00CE1584"/>
    <w:rsid w:val="00CF02DE"/>
    <w:rsid w:val="00CF1B9B"/>
    <w:rsid w:val="00D11A2D"/>
    <w:rsid w:val="00D213D5"/>
    <w:rsid w:val="00D223BF"/>
    <w:rsid w:val="00D309A5"/>
    <w:rsid w:val="00D35464"/>
    <w:rsid w:val="00D370F4"/>
    <w:rsid w:val="00D46E95"/>
    <w:rsid w:val="00D504EA"/>
    <w:rsid w:val="00D51EA2"/>
    <w:rsid w:val="00D82EF5"/>
    <w:rsid w:val="00D8454C"/>
    <w:rsid w:val="00D9429A"/>
    <w:rsid w:val="00DC3F30"/>
    <w:rsid w:val="00DC405E"/>
    <w:rsid w:val="00DD361C"/>
    <w:rsid w:val="00DE33BF"/>
    <w:rsid w:val="00DE7B7D"/>
    <w:rsid w:val="00DF76AB"/>
    <w:rsid w:val="00E04EE8"/>
    <w:rsid w:val="00E106F9"/>
    <w:rsid w:val="00E20F63"/>
    <w:rsid w:val="00E34A8F"/>
    <w:rsid w:val="00E354EA"/>
    <w:rsid w:val="00E35628"/>
    <w:rsid w:val="00E5066A"/>
    <w:rsid w:val="00E865E4"/>
    <w:rsid w:val="00E96E48"/>
    <w:rsid w:val="00EB090F"/>
    <w:rsid w:val="00EB7216"/>
    <w:rsid w:val="00ED0F8C"/>
    <w:rsid w:val="00EE4D95"/>
    <w:rsid w:val="00EE50D0"/>
    <w:rsid w:val="00EF2A09"/>
    <w:rsid w:val="00EF2C1C"/>
    <w:rsid w:val="00F148B0"/>
    <w:rsid w:val="00F2036B"/>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D4BEC"/>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openxmlformats.org/package/2006/metadata/core-properties"/>
    <ds:schemaRef ds:uri="http://schemas.microsoft.com/office/2006/documentManagement/types"/>
    <ds:schemaRef ds:uri="b8cb3cbd-ce5c-4a72-9da4-9013f91c5903"/>
    <ds:schemaRef ds:uri="http://schemas.microsoft.com/office/infopath/2007/PartnerControls"/>
    <ds:schemaRef ds:uri="7fae6ca9-b18b-49a6-bdfe-0a20c49a9ba9"/>
    <ds:schemaRef ds:uri="http://purl.org/dc/dcmitype/"/>
    <ds:schemaRef ds:uri="http://purl.org/dc/elements/1.1/"/>
    <ds:schemaRef ds:uri="http://schemas.microsoft.com/office/2006/metadata/properties"/>
    <ds:schemaRef ds:uri="http://schemas.microsoft.com/sharepoint/v3"/>
    <ds:schemaRef ds:uri="http://www.w3.org/XML/1998/namespace"/>
    <ds:schemaRef ds:uri="http://purl.org/dc/terms/"/>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AA2AE02D-8039-404F-B73C-E0D9516A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Gemma Green</cp:lastModifiedBy>
  <cp:revision>16</cp:revision>
  <cp:lastPrinted>2016-08-10T08:54:00Z</cp:lastPrinted>
  <dcterms:created xsi:type="dcterms:W3CDTF">2017-05-16T20:03:00Z</dcterms:created>
  <dcterms:modified xsi:type="dcterms:W3CDTF">2017-05-17T06:54:00Z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